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BDB14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150" w:beforeAutospacing="0" w:afterAutospacing="0"/>
        <w:jc w:val="center"/>
        <w:rPr>
          <w:rFonts w:ascii="Times New Roman" w:hAnsi="Times New Roman"/>
          <w:b w:val="1"/>
          <w:color w:val="auto"/>
          <w:sz w:val="24"/>
        </w:rPr>
      </w:pPr>
      <w:r>
        <w:rPr>
          <w:rFonts w:ascii="Times New Roman" w:hAnsi="Times New Roman"/>
          <w:b w:val="1"/>
          <w:color w:val="auto"/>
          <w:sz w:val="24"/>
        </w:rPr>
        <w:t>на 01.01.2021 года</w:t>
      </w:r>
    </w:p>
    <w:p>
      <w:pPr>
        <w:spacing w:lineRule="auto" w:line="240" w:after="150" w:beforeAutospacing="0" w:afterAutospacing="0"/>
        <w:jc w:val="center"/>
        <w:rPr>
          <w:rFonts w:ascii="Arial" w:hAnsi="Arial"/>
          <w:color w:val="auto"/>
          <w:sz w:val="20"/>
        </w:rPr>
      </w:pPr>
      <w:r>
        <w:rPr>
          <w:rFonts w:ascii="Times New Roman" w:hAnsi="Times New Roman"/>
          <w:b w:val="1"/>
          <w:color w:val="auto"/>
          <w:sz w:val="24"/>
        </w:rPr>
        <w:t>Всего в школе: </w:t>
      </w:r>
      <w:r>
        <w:rPr>
          <w:rFonts w:ascii="Times New Roman" w:hAnsi="Times New Roman"/>
          <w:b w:val="1"/>
          <w:color w:val="auto"/>
          <w:sz w:val="24"/>
        </w:rPr>
        <w:t>88</w:t>
      </w:r>
      <w:r>
        <w:rPr>
          <w:rFonts w:ascii="Times New Roman" w:hAnsi="Times New Roman"/>
          <w:b w:val="1"/>
          <w:color w:val="auto"/>
          <w:sz w:val="24"/>
        </w:rPr>
        <w:t xml:space="preserve"> обучающихся</w:t>
      </w:r>
    </w:p>
    <w:tbl>
      <w:tblPr>
        <w:tblW w:w="8205" w:type="dxa"/>
        <w:jc w:val="center"/>
        <w:tblCellSpacing w:w="0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/>
      <w:tr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НАЧАЛЬНОЕ ОБЩЕЕ ОБРАЗОВАНИЕ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27</w:t>
            </w:r>
            <w:r>
              <w:rPr>
                <w:rFonts w:ascii="Times New Roman" w:hAnsi="Times New Roman"/>
                <w:b w:val="1"/>
                <w:color w:val="0F0F0F"/>
                <w:sz w:val="24"/>
              </w:rPr>
              <w:t>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 чел.</w:t>
            </w:r>
          </w:p>
        </w:tc>
      </w:tr>
      <w:tr>
        <w:trPr>
          <w:trHeight w:hRule="atLeast" w:val="795"/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150" w:beforeAutospacing="0" w:afterAutospac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ОСНОВНОЕ ОБЩЕЕ ОБРАЗОВАНИЕ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 xml:space="preserve">54 </w:t>
            </w:r>
            <w:r>
              <w:rPr>
                <w:rFonts w:ascii="Times New Roman" w:hAnsi="Times New Roman"/>
                <w:b w:val="1"/>
                <w:color w:val="0F0F0F"/>
                <w:sz w:val="24"/>
              </w:rPr>
              <w:t>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150" w:beforeAutospacing="0" w:afterAutospac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СРЕДНЕЕ ОБЩЕЕ ОБРАЗОВАНИЕ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1"/>
                <w:color w:val="0F0F0F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color w:val="0F0F0F"/>
                <w:sz w:val="24"/>
              </w:rPr>
              <w:t>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чел.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F0F0F"/>
                <w:sz w:val="24"/>
              </w:rPr>
              <w:t>0 чел.</w:t>
            </w:r>
          </w:p>
        </w:tc>
      </w:tr>
    </w:tbl>
    <w:p>
      <w:pPr>
        <w:spacing w:lineRule="auto" w:line="254" w:beforeAutospacing="0" w:afterAutospacing="0"/>
        <w:rPr>
          <w:rFonts w:ascii="Calibri" w:hAnsi="Calibri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6" w:after="16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